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43050" cy="154766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15476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Admissions Policy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2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Responsible person:</w:t>
            </w:r>
            <w:r w:rsidDel="00000000" w:rsidR="00000000" w:rsidRPr="00000000">
              <w:rPr>
                <w:rFonts w:ascii="Calibri" w:cs="Calibri" w:eastAsia="Calibri" w:hAnsi="Calibri"/>
                <w:b w:val="1"/>
                <w:rtl w:val="0"/>
              </w:rPr>
              <w:t xml:space="preserve"> Paul Jones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60498046875" w:line="240" w:lineRule="auto"/>
              <w:ind w:left="130.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Cycle: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60498046875" w:line="240" w:lineRule="auto"/>
              <w:ind w:left="130.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 date: </w:t>
            </w:r>
            <w:r w:rsidDel="00000000" w:rsidR="00000000" w:rsidRPr="00000000">
              <w:rPr>
                <w:rFonts w:ascii="Calibri" w:cs="Calibri" w:eastAsia="Calibri" w:hAnsi="Calibri"/>
                <w:rtl w:val="0"/>
              </w:rPr>
              <w:t xml:space="preserve">September  2024</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60498046875" w:line="240" w:lineRule="auto"/>
              <w:ind w:left="130.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review date: </w:t>
            </w:r>
            <w:r w:rsidDel="00000000" w:rsidR="00000000" w:rsidRPr="00000000">
              <w:rPr>
                <w:rFonts w:ascii="Calibri" w:cs="Calibri" w:eastAsia="Calibri" w:hAnsi="Calibri"/>
                <w:rtl w:val="0"/>
              </w:rPr>
              <w:t xml:space="preserve">September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rtl w:val="0"/>
              </w:rPr>
              <w:t xml:space="preserve">5</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Tooting is owned and operated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Cavendish Education.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Calibri" w:cs="Calibri" w:eastAsia="Calibri" w:hAnsi="Calibri"/>
          <w:b w:val="1"/>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8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5996704101562"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General Introduction: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98095703125" w:line="242.76000022888184" w:lineRule="auto"/>
              <w:ind w:left="123.39996337890625" w:right="44.66064453125" w:hanging="6.929931640625"/>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policy is one of a series of school policies that, taken together, are designed to form a comprehensive statement of the school’s aspiration to provide an outstanding education for each of its </w:t>
            </w:r>
            <w:r w:rsidDel="00000000" w:rsidR="00000000" w:rsidRPr="00000000">
              <w:rPr>
                <w:rFonts w:ascii="Calibri" w:cs="Calibri" w:eastAsia="Calibri" w:hAnsi="Calibri"/>
                <w:sz w:val="21"/>
                <w:szCs w:val="21"/>
                <w:rtl w:val="0"/>
              </w:rPr>
              <w:t xml:space="preserve">pupils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52587890625" w:line="242.76000022888184" w:lineRule="auto"/>
              <w:ind w:left="124.23995971679688" w:right="51.561279296875" w:hanging="5.670013427734375"/>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of these policies have been written, not simply to meet statutory and other requirements, but to enable and evidence the work that the whole school is undertaking to ensure the implementation of its core values: that ‘all children can achieve’.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52587890625" w:line="242.76000022888184" w:lineRule="auto"/>
              <w:ind w:left="124.8699951171875" w:right="66.585693359375" w:hanging="3.569946289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While this current policy document may be referred to elsewhere in </w:t>
            </w:r>
            <w:r w:rsidDel="00000000" w:rsidR="00000000" w:rsidRPr="00000000">
              <w:rPr>
                <w:rFonts w:ascii="Calibri" w:cs="Calibri" w:eastAsia="Calibri" w:hAnsi="Calibri"/>
                <w:sz w:val="21"/>
                <w:szCs w:val="21"/>
                <w:rtl w:val="0"/>
              </w:rPr>
              <w:t xml:space="preserve">Burlington House School Tooting</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documentation, including particulars of employment, it is non-contractual.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52587890625" w:line="242.7601718902588" w:lineRule="auto"/>
              <w:ind w:left="118.3599853515625" w:right="44.56298828125" w:firstLine="14.28009033203125"/>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 the school’s policies, unless the specific context requires otherwise, the word “parent” is used in terms of Section 576 of the </w:t>
            </w:r>
            <w:r w:rsidDel="00000000" w:rsidR="00000000" w:rsidRPr="00000000">
              <w:rPr>
                <w:rFonts w:ascii="Calibri" w:cs="Calibri" w:eastAsia="Calibri" w:hAnsi="Calibri"/>
                <w:b w:val="0"/>
                <w:i w:val="0"/>
                <w:smallCaps w:val="0"/>
                <w:strike w:val="0"/>
                <w:color w:val="1155cc"/>
                <w:sz w:val="21"/>
                <w:szCs w:val="21"/>
                <w:u w:val="single"/>
                <w:shd w:fill="auto" w:val="clear"/>
                <w:vertAlign w:val="baseline"/>
                <w:rtl w:val="0"/>
              </w:rPr>
              <w:t xml:space="preserve">Education Act 1996</w:t>
            </w: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which states that a ‘parent’, in relation to a child or young person, includes any person who is not a biological parent but who has parental responsibility, or who has care of the child. Department for Education guidance </w:t>
            </w:r>
            <w:r w:rsidDel="00000000" w:rsidR="00000000" w:rsidRPr="00000000">
              <w:rPr>
                <w:rFonts w:ascii="Calibri" w:cs="Calibri" w:eastAsia="Calibri" w:hAnsi="Calibri"/>
                <w:b w:val="0"/>
                <w:i w:val="0"/>
                <w:smallCaps w:val="0"/>
                <w:strike w:val="0"/>
                <w:color w:val="1155cc"/>
                <w:sz w:val="21"/>
                <w:szCs w:val="21"/>
                <w:u w:val="single"/>
                <w:shd w:fill="auto" w:val="clear"/>
                <w:vertAlign w:val="baseline"/>
                <w:rtl w:val="0"/>
              </w:rPr>
              <w:t xml:space="preserve">Understanding and dealing with</w:t>
            </w:r>
            <w:r w:rsidDel="00000000" w:rsidR="00000000" w:rsidRPr="00000000">
              <w:rPr>
                <w:rFonts w:ascii="Calibri" w:cs="Calibri" w:eastAsia="Calibri" w:hAnsi="Calibri"/>
                <w:b w:val="0"/>
                <w:i w:val="0"/>
                <w:smallCaps w:val="0"/>
                <w:strike w:val="0"/>
                <w:color w:val="1155cc"/>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1"/>
                <w:szCs w:val="21"/>
                <w:u w:val="single"/>
                <w:shd w:fill="auto" w:val="clear"/>
                <w:vertAlign w:val="baseline"/>
                <w:rtl w:val="0"/>
              </w:rPr>
              <w:t xml:space="preserve">issues relating to parental responsi</w:t>
            </w:r>
            <w:r w:rsidDel="00000000" w:rsidR="00000000" w:rsidRPr="00000000">
              <w:rPr>
                <w:rFonts w:ascii="Calibri" w:cs="Calibri" w:eastAsia="Calibri" w:hAnsi="Calibri"/>
                <w:b w:val="0"/>
                <w:i w:val="0"/>
                <w:smallCaps w:val="0"/>
                <w:strike w:val="0"/>
                <w:color w:val="4a86e8"/>
                <w:sz w:val="21"/>
                <w:szCs w:val="21"/>
                <w:u w:val="single"/>
                <w:shd w:fill="auto" w:val="clear"/>
                <w:vertAlign w:val="baseline"/>
                <w:rtl w:val="0"/>
              </w:rPr>
              <w:t xml:space="preserve">bility September 2018</w:t>
            </w:r>
            <w:r w:rsidDel="00000000" w:rsidR="00000000" w:rsidRPr="00000000">
              <w:rPr>
                <w:rFonts w:ascii="Calibri" w:cs="Calibri" w:eastAsia="Calibri" w:hAnsi="Calibri"/>
                <w:b w:val="0"/>
                <w:i w:val="0"/>
                <w:smallCaps w:val="0"/>
                <w:strike w:val="0"/>
                <w:color w:val="0000ff"/>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considers a ‘parent’ to include: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493.2699584960937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biological parents, whether they are married or not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493.26995849609375" w:right="59.88769531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person who, although not a biological parent, has parental responsibility for a child or young person - this could be an adoptive parent, a step-parent, guardian or other relative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493.26995849609375" w:right="59.88769531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person who, although not a biological parent and does not have parental responsibility, has care of a child or young person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95361328125" w:line="242.76000022888184" w:lineRule="auto"/>
              <w:ind w:left="124.4500732421875" w:right="63.1396484375" w:hanging="5.880126953125"/>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person typically has care of a child or young person if they are the person with whom the child lives, either full or part time and who looks after the child, irrespective of what their biological or legal relationship is with the child.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95361328125" w:line="242.76000022888184" w:lineRule="auto"/>
              <w:ind w:left="124.23995971679688" w:right="61.806640625" w:hanging="7.769927978515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95361328125" w:line="240" w:lineRule="auto"/>
              <w:ind w:left="493.2699584960937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Peninsula BrightHR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038452148438" w:line="240" w:lineRule="auto"/>
              <w:ind w:left="493.2699584960937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Peninsula BrightSafe (Health and Safety)</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4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2699584960937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Atlantic Data (DBS)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3.26995849609375" w:right="0" w:firstLine="0"/>
              <w:jc w:val="left"/>
              <w:rPr>
                <w:rFonts w:ascii="Calibri" w:cs="Calibri" w:eastAsia="Calibri" w:hAnsi="Calibri"/>
                <w:b w:val="0"/>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Educare (</w:t>
            </w:r>
            <w:r w:rsidDel="00000000" w:rsidR="00000000" w:rsidRPr="00000000">
              <w:rPr>
                <w:rFonts w:ascii="Calibri" w:cs="Calibri" w:eastAsia="Calibri" w:hAnsi="Calibri"/>
                <w:b w:val="0"/>
                <w:i w:val="0"/>
                <w:smallCaps w:val="0"/>
                <w:strike w:val="0"/>
                <w:sz w:val="21"/>
                <w:szCs w:val="21"/>
                <w:u w:val="none"/>
                <w:shd w:fill="auto" w:val="clear"/>
                <w:vertAlign w:val="baseline"/>
                <w:rtl w:val="0"/>
              </w:rPr>
              <w:t xml:space="preserve">online CPD)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3.26995849609375" w:right="0" w:firstLine="0"/>
              <w:jc w:val="left"/>
              <w:rPr>
                <w:rFonts w:ascii="Calibri" w:cs="Calibri" w:eastAsia="Calibri" w:hAnsi="Calibri"/>
                <w:b w:val="0"/>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1"/>
                <w:szCs w:val="21"/>
                <w:u w:val="none"/>
                <w:shd w:fill="auto" w:val="clear"/>
                <w:vertAlign w:val="baseline"/>
                <w:rtl w:val="0"/>
              </w:rPr>
              <w:t xml:space="preserve">SchoolPro (data protection)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493.26995849609375" w:right="0" w:firstLine="0"/>
              <w:jc w:val="left"/>
              <w:rPr>
                <w:rFonts w:ascii="Calibri" w:cs="Calibri" w:eastAsia="Calibri" w:hAnsi="Calibri"/>
                <w:b w:val="0"/>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1"/>
                <w:szCs w:val="21"/>
                <w:u w:val="none"/>
                <w:shd w:fill="auto" w:val="clear"/>
                <w:vertAlign w:val="baseline"/>
                <w:rtl w:val="0"/>
              </w:rPr>
              <w:t xml:space="preserve">Marsh Commercial (insurance)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30419921875" w:line="242.76000022888184" w:lineRule="auto"/>
              <w:ind w:left="118.5699462890625" w:right="51.89697265625" w:firstLine="14.0701293945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sz w:val="21"/>
                <w:szCs w:val="21"/>
                <w:rtl w:val="0"/>
              </w:rPr>
              <w:t xml:space="preserve">Burlington House School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Tooting is committed to safeguarding and promoting the welfare of children and young people and expects all staff, volunteers, pupils and visitors to share this commitment.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6484375" w:line="242.76000022888184" w:lineRule="auto"/>
              <w:ind w:left="124.4500732421875" w:right="47.515869140625" w:hanging="5.88012695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outcomes generated by this document must take account of and seek to contribute to safeguarding and promoting the welfare of children and young people at Burlington House School Tooting.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6484375" w:line="242.76000022888184" w:lineRule="auto"/>
              <w:ind w:left="116.47003173828125" w:right="50.665283203125"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policy documents of Burlington House School Tooting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839996337890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Policy Introduction: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72.61817932128906" w:lineRule="auto"/>
        <w:ind w:left="13.520050048828125" w:right="5.330810546875" w:firstLine="14.960021972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Burlington House School Tooting offers specialist support for pupils with dyslexia from Year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Year 1</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want to make the right decision for the parent/carer, the child and family and are keen to help with this. We welcome applications throughout the year and our Admissions Team will guide the family through the admissions process.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9853515625" w:line="272.61817932128906" w:lineRule="auto"/>
        <w:ind w:left="11.540069580078125" w:right="7.48046875" w:hanging="1.9799804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has a well-developed process of admission designed to select pupils whose primary needs encompass either or both dyslexia and dyspraxia or pupils who require a small, nurturing environment; these criteria form the basis of the selection process. With comorbidity, we may accept pupils with similar Special Learning Difficulties (SpLDs) who would benefit from the practices of teachers with a dyslexia specialism.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9853515625" w:line="272.61817932128906" w:lineRule="auto"/>
        <w:ind w:left="11.540069580078125" w:right="4.35791015625" w:hanging="1.9799804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nature of our provision and pupil support structure means that we are unable to accept pupils with emotional and behavioural difficulties or significant learning difficulties. Due to the nature of teaching and learning, pupils with English as Additional Language (EAL) are required to be fluent in English.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9853515625" w:line="240" w:lineRule="auto"/>
        <w:ind w:left="16.60003662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aim to meet the needs of a wide range of pupils including but not limited to: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72.61817932128906" w:lineRule="auto"/>
        <w:ind w:left="733.7399291992188" w:right="20.78125" w:hanging="344.599914550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with Specific Learning Difficulties (SpLD) of dyslexia, dyspraxia, dyscalculia, dysgraphia, ADHD;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1354.140014648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with diagnosed (mild) speech, language and communication difficulties;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with high functioning Autistic Spectrum Disorders (ASD);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8.800048828125" w:right="0" w:hanging="349.66003417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Vulnerable pupils who have sensory/cognitive processing difficulties impacting on emotional regulation, attention and concentration, which can be managed with self-regulation strategies;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9853515625" w:line="272.61817932128906" w:lineRule="auto"/>
        <w:ind w:left="17.700042724609375" w:right="6.851806640625" w:hanging="6.15997314453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admissions process operates thereafter on a first come first served basis. Burlington House School Tooting will consider a pupil for placement outside of their chronological age group if there exists compelling educational or social reasons for doing so. It is the School’s policy that we do not admit pupils into Year 10 past the first academic half term or into Year 11. There will be careful consideration when it comes to pupils joining A-Level or BTEC Level 3 courses at Sixth Form into Year 12 and up.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59997558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a decision has been reached whether we are able to meet a child’s needs, this is final.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72.61817932128906" w:lineRule="auto"/>
        <w:ind w:left="26.49993896484375" w:right="20.67993164062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parent/carer thinks the submitted paperwork did not reflect the child correctly, the Admissions panel will consider another application 9-12 months later.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60595703125" w:line="272.61817932128906" w:lineRule="auto"/>
        <w:ind w:left="19.680023193359375" w:right="7.510986328125" w:hanging="5.94009399414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selections are made in adherence to the school’s Policy on Equality of Opportunity for all which has been updated following the Equality Act 2010. Under the Education Act 1996 s.347 the school is approved by the Secretary of State as suitable for the admission of children for the admission of children for whom statements are maintained under s.324 of the Act. We welcome both private payers and children (partly) funded via their EHCP. We do not have bursaries.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360595703125" w:line="240" w:lineRule="auto"/>
        <w:ind w:left="379.459991455078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Open Mornings: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72.61817932128906" w:lineRule="auto"/>
        <w:ind w:left="13.520050048828125" w:right="197.68310546875" w:firstLine="14.9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year the school holds four to six Open Mornings where prospective parents and associated professionals are welcomed. Tours of the school take place in small groups, escorted by current pupils and staff; these provide an opportunity to see teaching and learning in action. There is an opportunity to meet with the Headteacher, Senior Leadership team and Registrar in an informal setting on concluding the tour.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360595703125" w:line="240" w:lineRule="auto"/>
        <w:ind w:left="381.0000610351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Admission Proce</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19.680023193359375" w:right="166.146240234375" w:firstLine="8.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make contact with our Admissions Registrar who will answer any questions about the nature of Burlington House School Tooting’s specialism, facilities, curriculum and ethos.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9.680023193359375" w:right="214.95361328125" w:firstLine="8.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satisfied that Burlington House School Tooting may be an appropriate placement, please submit copies of diagnostic paperwork, including a current Educational Health Care Plan (EHCP) if appropriate, an Educational Psychology (EP) report (not more than two years old), plus any other additional educational information and the most recent school report. Our admissions team will review the paperwork provided and if we feel Burlington House School Tooting is able to meet your child’s needs we can then arrange for a meeting and tour with the Headteacher and Registrar.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3.520050048828125" w:right="186.3525390625" w:hanging="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pupil may be invited in for two ‘Taster Days’. The pupil will be invited to join an age appropriate teaching group and class teachers will set a number of tasks to establish the pupil’s current level of functioning in a variety of subjects including Mathematics and English. The aim of the taster days 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4.2999267578125" w:right="47.0751953125" w:hanging="10.779876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gain a greater understanding of the pupil’s functional skills and the potential they have to progress in our specialist setting.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1.540069580078125" w:right="145.2197265625" w:hanging="2.41989135742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SaLTs and a Specialist Teacher will also meet the pupil in a 1:1 environment to carry out a low impact Speech and Language and Literacy/Math screening. This does not form a formal diagnostic assessment for general release but takes place to corroborate or enhance the current diagnostic information available. All staff who have contact with the prospective pupil during the day then give feedback to the Headteacher about the child’s performance throughout the days, including behaviour and interaction with other pupils.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4.2999267578125" w:right="71.412353515625" w:hanging="10.559997558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the taster days the feedback from staff along with diagnostic paperwork are further scrutinised by members of the Admissions Committee, where a formal decision will be made as to whether Burlington House School Tooting provision is suitable and can meet the child’s educational needs. Further information or confirmations of reports may be sought or requested by the school at any stage of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We will write to the parent/carer with the outcome of the decision and appropriate notification is made to the LA concerned when the child is accepted (or a child is removed) outside of standard transitions.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60595703125" w:line="240" w:lineRule="auto"/>
        <w:ind w:left="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72.61817932128906" w:lineRule="auto"/>
        <w:ind w:left="28.480072021484375" w:right="250.458984375" w:hanging="14.74014282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pupil is not advantaged or disadvantaged in receiving the offer of a place by the possession of an Education Health and Care Plan.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60595703125" w:line="245.35637855529785" w:lineRule="auto"/>
        <w:ind w:left="13.520050048828125" w:right="338.590087890625" w:firstLine="7.039947509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Offers will remain valid for 30 days from the date of the offer letter. If funding is to be secured via the Local Authority then the offer period may be extended by negotiation.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16.60003662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 non-denominational school.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40" w:lineRule="auto"/>
        <w:ind w:left="28.480072021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Burlington House School Tooting is licensed to sponsor under Tier 4.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60498046875" w:line="463.4509563446045" w:lineRule="auto"/>
        <w:ind w:left="9.5599365234375" w:right="967.7532958984375" w:firstLine="8.140106201171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 Date: ___________________________________________ _____________________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Principal, Mr Koen Claeys</w:t>
      </w:r>
    </w:p>
    <w:sectPr>
      <w:pgSz w:h="16840" w:w="11920" w:orient="portrait"/>
      <w:pgMar w:bottom="770" w:top="214.0771484375" w:left="1430" w:right="1416.3171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